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51" w:type="dxa"/>
        <w:tblInd w:w="-524" w:type="dxa"/>
        <w:tblLook w:val="04A0" w:firstRow="1" w:lastRow="0" w:firstColumn="1" w:lastColumn="0" w:noHBand="0" w:noVBand="1"/>
      </w:tblPr>
      <w:tblGrid>
        <w:gridCol w:w="10051"/>
      </w:tblGrid>
      <w:tr w:rsidR="00394128" w:rsidRPr="0082704F" w14:paraId="70DCD081" w14:textId="77777777" w:rsidTr="00394128">
        <w:trPr>
          <w:trHeight w:val="895"/>
        </w:trPr>
        <w:tc>
          <w:tcPr>
            <w:tcW w:w="10051" w:type="dxa"/>
          </w:tcPr>
          <w:p w14:paraId="2038472B" w14:textId="4E724936" w:rsidR="00394128" w:rsidRDefault="00394128" w:rsidP="002641B8">
            <w:pPr>
              <w:rPr>
                <w:b/>
                <w:bCs/>
                <w:sz w:val="32"/>
                <w:szCs w:val="32"/>
                <w:lang w:eastAsia="en-GB"/>
              </w:rPr>
            </w:pPr>
            <w:r w:rsidRPr="00394128">
              <w:rPr>
                <w:b/>
                <w:bCs/>
                <w:sz w:val="32"/>
                <w:szCs w:val="32"/>
                <w:lang w:eastAsia="en-GB"/>
              </w:rPr>
              <w:t>How can green PB support community responses to the climate emergency?</w:t>
            </w:r>
          </w:p>
          <w:p w14:paraId="116F6992" w14:textId="7A31CE6B" w:rsidR="00347232" w:rsidRDefault="00347232" w:rsidP="002641B8">
            <w:pPr>
              <w:rPr>
                <w:b/>
                <w:bCs/>
                <w:sz w:val="32"/>
                <w:szCs w:val="32"/>
                <w:lang w:eastAsia="en-GB"/>
              </w:rPr>
            </w:pPr>
          </w:p>
          <w:p w14:paraId="63C8CA8B" w14:textId="420F439F" w:rsidR="00347232" w:rsidRPr="00347232" w:rsidRDefault="00347232" w:rsidP="002641B8">
            <w:pPr>
              <w:rPr>
                <w:sz w:val="32"/>
                <w:szCs w:val="32"/>
                <w:lang w:eastAsia="en-GB"/>
              </w:rPr>
            </w:pPr>
            <w:r w:rsidRPr="00347232">
              <w:rPr>
                <w:sz w:val="32"/>
                <w:szCs w:val="32"/>
                <w:lang w:eastAsia="en-GB"/>
              </w:rPr>
              <w:t>My one key takeaway for Green PB was the importance of continuing to share knowledge and learn from each other in relation to how green PB develops in Scotland and can be used as a driver of achievable climate action at local and national levels.</w:t>
            </w:r>
          </w:p>
          <w:p w14:paraId="0E038008" w14:textId="77777777" w:rsidR="00394128" w:rsidRDefault="00394128" w:rsidP="002641B8">
            <w:pPr>
              <w:rPr>
                <w:sz w:val="32"/>
                <w:szCs w:val="32"/>
                <w:lang w:eastAsia="en-GB"/>
              </w:rPr>
            </w:pPr>
          </w:p>
          <w:p w14:paraId="150FCB6E" w14:textId="77777777" w:rsidR="00394128" w:rsidRDefault="00394128" w:rsidP="002641B8">
            <w:pPr>
              <w:rPr>
                <w:sz w:val="32"/>
                <w:szCs w:val="32"/>
                <w:lang w:eastAsia="en-GB"/>
              </w:rPr>
            </w:pPr>
          </w:p>
          <w:p w14:paraId="711934AD" w14:textId="639638D9" w:rsidR="00394128" w:rsidRPr="0082704F" w:rsidRDefault="00394128" w:rsidP="002641B8">
            <w:pPr>
              <w:rPr>
                <w:sz w:val="32"/>
                <w:szCs w:val="32"/>
                <w:lang w:eastAsia="en-GB"/>
              </w:rPr>
            </w:pPr>
          </w:p>
        </w:tc>
      </w:tr>
      <w:tr w:rsidR="00394128" w:rsidRPr="002F012A" w14:paraId="1DECE6B8" w14:textId="77777777" w:rsidTr="00394128">
        <w:trPr>
          <w:trHeight w:val="915"/>
        </w:trPr>
        <w:tc>
          <w:tcPr>
            <w:tcW w:w="10051" w:type="dxa"/>
          </w:tcPr>
          <w:p w14:paraId="28F6DF86" w14:textId="77777777" w:rsidR="00242718" w:rsidRPr="00394128" w:rsidRDefault="00394128" w:rsidP="00242718">
            <w:pPr>
              <w:rPr>
                <w:b/>
                <w:bCs/>
                <w:sz w:val="32"/>
                <w:szCs w:val="32"/>
                <w:lang w:eastAsia="en-GB"/>
              </w:rPr>
            </w:pPr>
            <w:r w:rsidRPr="00394128">
              <w:rPr>
                <w:b/>
                <w:bCs/>
                <w:sz w:val="32"/>
                <w:szCs w:val="32"/>
                <w:lang w:eastAsia="en-GB"/>
              </w:rPr>
              <w:t>How can PB support Scotland's health and wellbeing</w:t>
            </w:r>
            <w:r w:rsidR="00242718">
              <w:rPr>
                <w:b/>
                <w:bCs/>
                <w:sz w:val="32"/>
                <w:szCs w:val="32"/>
                <w:lang w:eastAsia="en-GB"/>
              </w:rPr>
              <w:t xml:space="preserve"> and </w:t>
            </w:r>
            <w:r w:rsidR="00242718" w:rsidRPr="00394128">
              <w:rPr>
                <w:b/>
                <w:bCs/>
                <w:sz w:val="32"/>
                <w:szCs w:val="32"/>
                <w:lang w:eastAsia="en-GB"/>
              </w:rPr>
              <w:t>addressing issues around housing and homelessness?</w:t>
            </w:r>
          </w:p>
          <w:p w14:paraId="01BE8750" w14:textId="262B5544" w:rsidR="00394128" w:rsidRDefault="00394128" w:rsidP="002641B8">
            <w:pPr>
              <w:rPr>
                <w:b/>
                <w:bCs/>
                <w:sz w:val="32"/>
                <w:szCs w:val="32"/>
                <w:lang w:eastAsia="en-GB"/>
              </w:rPr>
            </w:pPr>
          </w:p>
          <w:p w14:paraId="6772E64C" w14:textId="40318636" w:rsidR="00242718" w:rsidRPr="00242718" w:rsidRDefault="00242718" w:rsidP="002641B8">
            <w:pPr>
              <w:rPr>
                <w:sz w:val="32"/>
                <w:szCs w:val="32"/>
                <w:lang w:eastAsia="en-GB"/>
              </w:rPr>
            </w:pPr>
            <w:r w:rsidRPr="00242718">
              <w:rPr>
                <w:sz w:val="32"/>
                <w:szCs w:val="32"/>
                <w:lang w:eastAsia="en-GB"/>
              </w:rPr>
              <w:t>We need to use a creative range of approaches to ensure PB processes are both participative and inclusive</w:t>
            </w:r>
          </w:p>
          <w:p w14:paraId="718C89A2" w14:textId="77777777" w:rsidR="00394128" w:rsidRDefault="00394128" w:rsidP="002641B8">
            <w:pPr>
              <w:rPr>
                <w:sz w:val="32"/>
                <w:szCs w:val="32"/>
                <w:lang w:eastAsia="en-GB"/>
              </w:rPr>
            </w:pPr>
          </w:p>
          <w:p w14:paraId="1C30AE69" w14:textId="77777777" w:rsidR="00394128" w:rsidRDefault="00394128" w:rsidP="002641B8">
            <w:pPr>
              <w:rPr>
                <w:sz w:val="32"/>
                <w:szCs w:val="32"/>
                <w:lang w:eastAsia="en-GB"/>
              </w:rPr>
            </w:pPr>
          </w:p>
          <w:p w14:paraId="27FF43F7" w14:textId="4FCB0F8C" w:rsidR="00394128" w:rsidRDefault="00394128" w:rsidP="002641B8">
            <w:pPr>
              <w:rPr>
                <w:sz w:val="32"/>
                <w:szCs w:val="32"/>
                <w:lang w:eastAsia="en-GB"/>
              </w:rPr>
            </w:pPr>
          </w:p>
          <w:p w14:paraId="3D85614C" w14:textId="77777777" w:rsidR="00394128" w:rsidRDefault="00394128" w:rsidP="002641B8">
            <w:pPr>
              <w:rPr>
                <w:sz w:val="32"/>
                <w:szCs w:val="32"/>
                <w:lang w:eastAsia="en-GB"/>
              </w:rPr>
            </w:pPr>
          </w:p>
          <w:p w14:paraId="6237E344" w14:textId="2D15EF2D" w:rsidR="00394128" w:rsidRPr="0082704F" w:rsidRDefault="00394128" w:rsidP="002641B8">
            <w:pPr>
              <w:rPr>
                <w:sz w:val="32"/>
                <w:szCs w:val="32"/>
                <w:lang w:eastAsia="en-GB"/>
              </w:rPr>
            </w:pPr>
          </w:p>
        </w:tc>
      </w:tr>
      <w:tr w:rsidR="00394128" w:rsidRPr="0082704F" w14:paraId="7F01B7EE" w14:textId="77777777" w:rsidTr="00394128">
        <w:trPr>
          <w:trHeight w:val="428"/>
        </w:trPr>
        <w:tc>
          <w:tcPr>
            <w:tcW w:w="10051" w:type="dxa"/>
          </w:tcPr>
          <w:p w14:paraId="2803F112" w14:textId="77777777" w:rsidR="00394128" w:rsidRPr="00394128" w:rsidRDefault="00394128" w:rsidP="002641B8">
            <w:pPr>
              <w:rPr>
                <w:b/>
                <w:bCs/>
                <w:sz w:val="32"/>
                <w:szCs w:val="32"/>
                <w:lang w:eastAsia="en-GB"/>
              </w:rPr>
            </w:pPr>
            <w:r w:rsidRPr="00394128">
              <w:rPr>
                <w:b/>
                <w:bCs/>
                <w:sz w:val="32"/>
                <w:szCs w:val="32"/>
                <w:lang w:eastAsia="en-GB"/>
              </w:rPr>
              <w:t>What role do schools play in delivering PB?</w:t>
            </w:r>
          </w:p>
          <w:p w14:paraId="732C4E5C" w14:textId="174D0F3E" w:rsidR="00394128" w:rsidRDefault="00394128" w:rsidP="002641B8">
            <w:pPr>
              <w:rPr>
                <w:sz w:val="32"/>
                <w:szCs w:val="32"/>
                <w:lang w:eastAsia="en-GB"/>
              </w:rPr>
            </w:pPr>
          </w:p>
          <w:p w14:paraId="6129B1A7" w14:textId="3B9A0230" w:rsidR="00BE31C5" w:rsidRDefault="00347232" w:rsidP="00347232">
            <w:pPr>
              <w:pStyle w:val="ListParagraph"/>
              <w:numPr>
                <w:ilvl w:val="0"/>
                <w:numId w:val="1"/>
              </w:numPr>
              <w:rPr>
                <w:sz w:val="32"/>
                <w:szCs w:val="32"/>
                <w:lang w:eastAsia="en-GB"/>
              </w:rPr>
            </w:pPr>
            <w:r>
              <w:rPr>
                <w:sz w:val="32"/>
                <w:szCs w:val="32"/>
                <w:lang w:eastAsia="en-GB"/>
              </w:rPr>
              <w:t>The importance of using a range of approaches to engage families and young people. Schools PB doesn’t happen just in school – use of accessible, community venues.</w:t>
            </w:r>
          </w:p>
          <w:p w14:paraId="1E52CA13" w14:textId="5C4CF5F4" w:rsidR="00347232" w:rsidRPr="00347232" w:rsidRDefault="00347232" w:rsidP="00347232">
            <w:pPr>
              <w:pStyle w:val="ListParagraph"/>
              <w:numPr>
                <w:ilvl w:val="0"/>
                <w:numId w:val="1"/>
              </w:numPr>
              <w:rPr>
                <w:sz w:val="32"/>
                <w:szCs w:val="32"/>
                <w:lang w:eastAsia="en-GB"/>
              </w:rPr>
            </w:pPr>
            <w:r>
              <w:rPr>
                <w:sz w:val="32"/>
                <w:szCs w:val="32"/>
                <w:lang w:eastAsia="en-GB"/>
              </w:rPr>
              <w:t xml:space="preserve">Including not identifying – </w:t>
            </w:r>
            <w:r w:rsidR="00D32CF4">
              <w:rPr>
                <w:sz w:val="32"/>
                <w:szCs w:val="32"/>
                <w:lang w:eastAsia="en-GB"/>
              </w:rPr>
              <w:t>careful</w:t>
            </w:r>
            <w:r>
              <w:rPr>
                <w:sz w:val="32"/>
                <w:szCs w:val="32"/>
                <w:lang w:eastAsia="en-GB"/>
              </w:rPr>
              <w:t xml:space="preserve"> consideration of avoiding and stigmatising people. </w:t>
            </w:r>
          </w:p>
          <w:p w14:paraId="3FCAD4D7" w14:textId="77777777" w:rsidR="00394128" w:rsidRDefault="00394128" w:rsidP="002641B8">
            <w:pPr>
              <w:rPr>
                <w:sz w:val="32"/>
                <w:szCs w:val="32"/>
                <w:lang w:eastAsia="en-GB"/>
              </w:rPr>
            </w:pPr>
          </w:p>
          <w:p w14:paraId="6CB0A587" w14:textId="77777777" w:rsidR="00394128" w:rsidRDefault="00394128" w:rsidP="002641B8">
            <w:pPr>
              <w:rPr>
                <w:sz w:val="32"/>
                <w:szCs w:val="32"/>
                <w:lang w:eastAsia="en-GB"/>
              </w:rPr>
            </w:pPr>
          </w:p>
          <w:p w14:paraId="79AF762D" w14:textId="4F46DD9D" w:rsidR="00394128" w:rsidRPr="0082704F" w:rsidRDefault="00394128" w:rsidP="002641B8">
            <w:pPr>
              <w:rPr>
                <w:sz w:val="32"/>
                <w:szCs w:val="32"/>
                <w:lang w:eastAsia="en-GB"/>
              </w:rPr>
            </w:pPr>
          </w:p>
        </w:tc>
      </w:tr>
      <w:tr w:rsidR="00BE31C5" w:rsidRPr="0082704F" w14:paraId="4FE42977" w14:textId="77777777" w:rsidTr="00394128">
        <w:trPr>
          <w:trHeight w:val="428"/>
        </w:trPr>
        <w:tc>
          <w:tcPr>
            <w:tcW w:w="10051" w:type="dxa"/>
          </w:tcPr>
          <w:p w14:paraId="01BD1303" w14:textId="77777777" w:rsidR="00BE31C5" w:rsidRDefault="00A55246" w:rsidP="002641B8">
            <w:pPr>
              <w:rPr>
                <w:rFonts w:ascii="Calibri" w:hAnsi="Calibri" w:cs="Calibri"/>
                <w:b/>
                <w:bCs/>
                <w:color w:val="000000"/>
                <w:sz w:val="32"/>
                <w:szCs w:val="32"/>
              </w:rPr>
            </w:pPr>
            <w:r w:rsidRPr="00A55246">
              <w:rPr>
                <w:rFonts w:ascii="Calibri" w:hAnsi="Calibri" w:cs="Calibri"/>
                <w:b/>
                <w:bCs/>
                <w:color w:val="000000"/>
                <w:sz w:val="32"/>
                <w:szCs w:val="32"/>
              </w:rPr>
              <w:t>How do we ensure equality remains at the core of PB practice?</w:t>
            </w:r>
          </w:p>
          <w:p w14:paraId="0247D987" w14:textId="77777777" w:rsidR="00A55246" w:rsidRDefault="00A55246" w:rsidP="002641B8">
            <w:pPr>
              <w:rPr>
                <w:rFonts w:ascii="Calibri" w:hAnsi="Calibri" w:cs="Calibri"/>
                <w:b/>
                <w:bCs/>
                <w:color w:val="000000"/>
                <w:sz w:val="32"/>
                <w:szCs w:val="32"/>
              </w:rPr>
            </w:pPr>
          </w:p>
          <w:p w14:paraId="1806601A" w14:textId="5EE30F00" w:rsidR="00A55246" w:rsidRPr="00347232" w:rsidRDefault="00347232" w:rsidP="002641B8">
            <w:pPr>
              <w:rPr>
                <w:rFonts w:ascii="Calibri" w:hAnsi="Calibri" w:cs="Calibri"/>
                <w:color w:val="000000"/>
                <w:sz w:val="32"/>
                <w:szCs w:val="32"/>
              </w:rPr>
            </w:pPr>
            <w:r w:rsidRPr="00347232">
              <w:rPr>
                <w:rFonts w:ascii="Calibri" w:hAnsi="Calibri" w:cs="Calibri"/>
                <w:color w:val="000000"/>
                <w:sz w:val="32"/>
                <w:szCs w:val="32"/>
              </w:rPr>
              <w:t xml:space="preserve">Inclusive and fair PB processes need to be based on trusting relationships and pro-active support and engagement of </w:t>
            </w:r>
            <w:r w:rsidRPr="00347232">
              <w:rPr>
                <w:rFonts w:ascii="Calibri" w:hAnsi="Calibri" w:cs="Calibri"/>
                <w:color w:val="000000"/>
                <w:sz w:val="32"/>
                <w:szCs w:val="32"/>
              </w:rPr>
              <w:t>excluded</w:t>
            </w:r>
            <w:r w:rsidRPr="00347232">
              <w:rPr>
                <w:rFonts w:ascii="Calibri" w:hAnsi="Calibri" w:cs="Calibri"/>
                <w:color w:val="000000"/>
                <w:sz w:val="32"/>
                <w:szCs w:val="32"/>
              </w:rPr>
              <w:t xml:space="preserve"> groups right from the design stage.</w:t>
            </w:r>
          </w:p>
          <w:p w14:paraId="1BF5E163" w14:textId="77777777" w:rsidR="00A55246" w:rsidRDefault="00A55246" w:rsidP="002641B8">
            <w:pPr>
              <w:rPr>
                <w:rFonts w:ascii="Calibri" w:hAnsi="Calibri" w:cs="Calibri"/>
                <w:b/>
                <w:bCs/>
                <w:color w:val="000000"/>
                <w:sz w:val="32"/>
                <w:szCs w:val="32"/>
              </w:rPr>
            </w:pPr>
          </w:p>
          <w:p w14:paraId="66F513D2" w14:textId="77777777" w:rsidR="00A55246" w:rsidRDefault="00A55246" w:rsidP="002641B8">
            <w:pPr>
              <w:rPr>
                <w:rFonts w:ascii="Calibri" w:hAnsi="Calibri" w:cs="Calibri"/>
                <w:b/>
                <w:bCs/>
                <w:color w:val="000000"/>
                <w:sz w:val="32"/>
                <w:szCs w:val="32"/>
              </w:rPr>
            </w:pPr>
          </w:p>
          <w:p w14:paraId="047F0DFD" w14:textId="77777777" w:rsidR="00A55246" w:rsidRDefault="00A55246" w:rsidP="002641B8">
            <w:pPr>
              <w:rPr>
                <w:rFonts w:ascii="Calibri" w:hAnsi="Calibri" w:cs="Calibri"/>
                <w:b/>
                <w:bCs/>
                <w:color w:val="000000"/>
                <w:sz w:val="32"/>
                <w:szCs w:val="32"/>
              </w:rPr>
            </w:pPr>
          </w:p>
          <w:p w14:paraId="3971700B" w14:textId="194844B5" w:rsidR="00A55246" w:rsidRPr="00A55246" w:rsidRDefault="00A55246" w:rsidP="002641B8">
            <w:pPr>
              <w:rPr>
                <w:b/>
                <w:bCs/>
                <w:sz w:val="32"/>
                <w:szCs w:val="32"/>
                <w:lang w:eastAsia="en-GB"/>
              </w:rPr>
            </w:pPr>
          </w:p>
        </w:tc>
      </w:tr>
      <w:tr w:rsidR="00BE31C5" w:rsidRPr="0082704F" w14:paraId="080CB98C" w14:textId="77777777" w:rsidTr="00394128">
        <w:trPr>
          <w:trHeight w:val="428"/>
        </w:trPr>
        <w:tc>
          <w:tcPr>
            <w:tcW w:w="10051" w:type="dxa"/>
          </w:tcPr>
          <w:p w14:paraId="39D5EE57" w14:textId="47C36C15" w:rsidR="00BE31C5" w:rsidRDefault="00A55246" w:rsidP="002641B8">
            <w:pPr>
              <w:rPr>
                <w:rFonts w:ascii="Calibri" w:hAnsi="Calibri" w:cs="Calibri"/>
                <w:b/>
                <w:bCs/>
                <w:color w:val="000000"/>
                <w:sz w:val="32"/>
                <w:szCs w:val="32"/>
              </w:rPr>
            </w:pPr>
            <w:r w:rsidRPr="00A55246">
              <w:rPr>
                <w:rFonts w:ascii="Calibri" w:hAnsi="Calibri" w:cs="Calibri"/>
                <w:b/>
                <w:bCs/>
                <w:color w:val="000000"/>
                <w:sz w:val="32"/>
                <w:szCs w:val="32"/>
              </w:rPr>
              <w:lastRenderedPageBreak/>
              <w:t>How do we create a participative culture shift, develop PB leadership and embed long-term thinking?</w:t>
            </w:r>
          </w:p>
          <w:p w14:paraId="2F164FDA" w14:textId="06021918" w:rsidR="00347232" w:rsidRDefault="00347232" w:rsidP="002641B8">
            <w:pPr>
              <w:rPr>
                <w:rFonts w:ascii="Calibri" w:hAnsi="Calibri" w:cs="Calibri"/>
                <w:b/>
                <w:bCs/>
                <w:color w:val="000000"/>
                <w:sz w:val="32"/>
                <w:szCs w:val="32"/>
              </w:rPr>
            </w:pPr>
          </w:p>
          <w:p w14:paraId="0FC9D180" w14:textId="77777777" w:rsidR="00347232" w:rsidRPr="00D32CF4" w:rsidRDefault="00347232" w:rsidP="00347232">
            <w:pPr>
              <w:pStyle w:val="ListParagraph"/>
              <w:numPr>
                <w:ilvl w:val="0"/>
                <w:numId w:val="2"/>
              </w:numPr>
              <w:contextualSpacing w:val="0"/>
              <w:rPr>
                <w:rFonts w:ascii="Calibri" w:hAnsi="Calibri" w:cs="Calibri"/>
                <w:color w:val="000000"/>
                <w:sz w:val="32"/>
                <w:szCs w:val="32"/>
              </w:rPr>
            </w:pPr>
            <w:r w:rsidRPr="00D32CF4">
              <w:rPr>
                <w:rFonts w:ascii="Calibri" w:hAnsi="Calibri" w:cs="Calibri"/>
                <w:color w:val="000000"/>
                <w:sz w:val="32"/>
                <w:szCs w:val="32"/>
              </w:rPr>
              <w:t>Communities need to be involved in the process, right from the start – and making sure it’s not the same old faces.</w:t>
            </w:r>
          </w:p>
          <w:p w14:paraId="4C76DAE4" w14:textId="77777777" w:rsidR="00347232" w:rsidRPr="00D32CF4" w:rsidRDefault="00347232" w:rsidP="00347232">
            <w:pPr>
              <w:pStyle w:val="ListParagraph"/>
              <w:numPr>
                <w:ilvl w:val="0"/>
                <w:numId w:val="2"/>
              </w:numPr>
              <w:contextualSpacing w:val="0"/>
              <w:rPr>
                <w:rFonts w:ascii="Calibri" w:hAnsi="Calibri" w:cs="Calibri"/>
                <w:color w:val="000000"/>
                <w:sz w:val="32"/>
                <w:szCs w:val="32"/>
              </w:rPr>
            </w:pPr>
            <w:r w:rsidRPr="00D32CF4">
              <w:rPr>
                <w:rFonts w:ascii="Calibri" w:hAnsi="Calibri" w:cs="Calibri"/>
                <w:color w:val="000000"/>
                <w:sz w:val="32"/>
                <w:szCs w:val="32"/>
              </w:rPr>
              <w:t xml:space="preserve">Need to look at some of the procedural barriers </w:t>
            </w:r>
            <w:proofErr w:type="gramStart"/>
            <w:r w:rsidRPr="00D32CF4">
              <w:rPr>
                <w:rFonts w:ascii="Calibri" w:hAnsi="Calibri" w:cs="Calibri"/>
                <w:color w:val="000000"/>
                <w:sz w:val="32"/>
                <w:szCs w:val="32"/>
              </w:rPr>
              <w:t>e.g.</w:t>
            </w:r>
            <w:proofErr w:type="gramEnd"/>
            <w:r w:rsidRPr="00D32CF4">
              <w:rPr>
                <w:rFonts w:ascii="Calibri" w:hAnsi="Calibri" w:cs="Calibri"/>
                <w:color w:val="000000"/>
                <w:sz w:val="32"/>
                <w:szCs w:val="32"/>
              </w:rPr>
              <w:t xml:space="preserve"> rushed processes because of timeframe between decision to do PB and the end of the fiscal year, procurement bureaucracies etc, lack of internal understanding of PB within services.</w:t>
            </w:r>
          </w:p>
          <w:p w14:paraId="06B829EF" w14:textId="77777777" w:rsidR="00347232" w:rsidRPr="00D32CF4" w:rsidRDefault="00347232" w:rsidP="00347232">
            <w:pPr>
              <w:pStyle w:val="ListParagraph"/>
              <w:numPr>
                <w:ilvl w:val="0"/>
                <w:numId w:val="2"/>
              </w:numPr>
              <w:contextualSpacing w:val="0"/>
              <w:rPr>
                <w:rFonts w:ascii="Calibri" w:hAnsi="Calibri" w:cs="Calibri"/>
                <w:color w:val="000000"/>
                <w:sz w:val="32"/>
                <w:szCs w:val="32"/>
              </w:rPr>
            </w:pPr>
            <w:r w:rsidRPr="00D32CF4">
              <w:rPr>
                <w:rFonts w:ascii="Calibri" w:hAnsi="Calibri" w:cs="Calibri"/>
                <w:color w:val="000000"/>
                <w:sz w:val="32"/>
                <w:szCs w:val="32"/>
              </w:rPr>
              <w:t xml:space="preserve">It needs a regular commitment, perhaps 3 – 4 </w:t>
            </w:r>
            <w:proofErr w:type="spellStart"/>
            <w:r w:rsidRPr="00D32CF4">
              <w:rPr>
                <w:rFonts w:ascii="Calibri" w:hAnsi="Calibri" w:cs="Calibri"/>
                <w:color w:val="000000"/>
                <w:sz w:val="32"/>
                <w:szCs w:val="32"/>
              </w:rPr>
              <w:t>yrs</w:t>
            </w:r>
            <w:proofErr w:type="spellEnd"/>
            <w:r w:rsidRPr="00D32CF4">
              <w:rPr>
                <w:rFonts w:ascii="Calibri" w:hAnsi="Calibri" w:cs="Calibri"/>
                <w:color w:val="000000"/>
                <w:sz w:val="32"/>
                <w:szCs w:val="32"/>
              </w:rPr>
              <w:t xml:space="preserve"> from LAs to learn and grow, not one-offs and pilots.  Methods need to be flexible and grow – adapt around what works and doesn’t work</w:t>
            </w:r>
          </w:p>
          <w:p w14:paraId="1989585B" w14:textId="77777777" w:rsidR="00347232" w:rsidRDefault="00347232" w:rsidP="002641B8">
            <w:pPr>
              <w:rPr>
                <w:rFonts w:ascii="Calibri" w:hAnsi="Calibri" w:cs="Calibri"/>
                <w:b/>
                <w:bCs/>
                <w:color w:val="000000"/>
                <w:sz w:val="32"/>
                <w:szCs w:val="32"/>
              </w:rPr>
            </w:pPr>
          </w:p>
          <w:p w14:paraId="3597CB17" w14:textId="77777777" w:rsidR="00A55246" w:rsidRDefault="00A55246" w:rsidP="002641B8">
            <w:pPr>
              <w:rPr>
                <w:rFonts w:ascii="Calibri" w:hAnsi="Calibri" w:cs="Calibri"/>
                <w:b/>
                <w:bCs/>
                <w:color w:val="000000"/>
                <w:sz w:val="32"/>
                <w:szCs w:val="32"/>
              </w:rPr>
            </w:pPr>
          </w:p>
          <w:p w14:paraId="722AB34E" w14:textId="77777777" w:rsidR="00A55246" w:rsidRDefault="00A55246" w:rsidP="002641B8">
            <w:pPr>
              <w:rPr>
                <w:rFonts w:ascii="Calibri" w:hAnsi="Calibri" w:cs="Calibri"/>
                <w:b/>
                <w:bCs/>
                <w:color w:val="000000"/>
                <w:sz w:val="32"/>
                <w:szCs w:val="32"/>
              </w:rPr>
            </w:pPr>
          </w:p>
          <w:p w14:paraId="263B3ACB" w14:textId="494B4F6B" w:rsidR="00A55246" w:rsidRDefault="00A55246" w:rsidP="002641B8">
            <w:pPr>
              <w:rPr>
                <w:rFonts w:ascii="Calibri" w:hAnsi="Calibri" w:cs="Calibri"/>
                <w:b/>
                <w:bCs/>
                <w:color w:val="000000"/>
                <w:sz w:val="32"/>
                <w:szCs w:val="32"/>
              </w:rPr>
            </w:pPr>
          </w:p>
          <w:p w14:paraId="69329542" w14:textId="77777777" w:rsidR="00A55246" w:rsidRDefault="00A55246" w:rsidP="002641B8">
            <w:pPr>
              <w:rPr>
                <w:rFonts w:ascii="Calibri" w:hAnsi="Calibri" w:cs="Calibri"/>
                <w:b/>
                <w:bCs/>
                <w:color w:val="000000"/>
                <w:sz w:val="32"/>
                <w:szCs w:val="32"/>
              </w:rPr>
            </w:pPr>
          </w:p>
          <w:p w14:paraId="14C9A071" w14:textId="77777777" w:rsidR="00A55246" w:rsidRDefault="00A55246" w:rsidP="002641B8">
            <w:pPr>
              <w:rPr>
                <w:rFonts w:ascii="Calibri" w:hAnsi="Calibri" w:cs="Calibri"/>
                <w:b/>
                <w:bCs/>
                <w:color w:val="000000"/>
                <w:sz w:val="32"/>
                <w:szCs w:val="32"/>
              </w:rPr>
            </w:pPr>
          </w:p>
          <w:p w14:paraId="6A3131C3" w14:textId="77777777" w:rsidR="00A55246" w:rsidRDefault="00A55246" w:rsidP="002641B8">
            <w:pPr>
              <w:rPr>
                <w:rFonts w:ascii="Calibri" w:hAnsi="Calibri" w:cs="Calibri"/>
                <w:b/>
                <w:bCs/>
                <w:color w:val="000000"/>
                <w:sz w:val="32"/>
                <w:szCs w:val="32"/>
              </w:rPr>
            </w:pPr>
          </w:p>
          <w:p w14:paraId="7C464115" w14:textId="77777777" w:rsidR="00A55246" w:rsidRDefault="00A55246" w:rsidP="002641B8">
            <w:pPr>
              <w:rPr>
                <w:rFonts w:ascii="Calibri" w:hAnsi="Calibri" w:cs="Calibri"/>
                <w:b/>
                <w:bCs/>
                <w:color w:val="000000"/>
                <w:sz w:val="32"/>
                <w:szCs w:val="32"/>
              </w:rPr>
            </w:pPr>
          </w:p>
          <w:p w14:paraId="4897F131" w14:textId="7C4EF627" w:rsidR="00A55246" w:rsidRPr="00A55246" w:rsidRDefault="00A55246" w:rsidP="002641B8">
            <w:pPr>
              <w:rPr>
                <w:b/>
                <w:bCs/>
                <w:sz w:val="32"/>
                <w:szCs w:val="32"/>
                <w:lang w:eastAsia="en-GB"/>
              </w:rPr>
            </w:pPr>
          </w:p>
        </w:tc>
      </w:tr>
    </w:tbl>
    <w:p w14:paraId="4E896149" w14:textId="77777777" w:rsidR="0020410E" w:rsidRDefault="0020410E" w:rsidP="00394128"/>
    <w:sectPr w:rsidR="0020410E" w:rsidSect="00394128">
      <w:pgSz w:w="11906" w:h="16838"/>
      <w:pgMar w:top="1048"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20B4"/>
    <w:multiLevelType w:val="multilevel"/>
    <w:tmpl w:val="8F94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5245D"/>
    <w:multiLevelType w:val="hybridMultilevel"/>
    <w:tmpl w:val="51B85A60"/>
    <w:lvl w:ilvl="0" w:tplc="14D6B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0705708">
    <w:abstractNumId w:val="1"/>
  </w:num>
  <w:num w:numId="2" w16cid:durableId="171221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28"/>
    <w:rsid w:val="0010588E"/>
    <w:rsid w:val="0020410E"/>
    <w:rsid w:val="00242718"/>
    <w:rsid w:val="00347232"/>
    <w:rsid w:val="00394128"/>
    <w:rsid w:val="00A55246"/>
    <w:rsid w:val="00BE31C5"/>
    <w:rsid w:val="00D3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352617"/>
  <w15:chartTrackingRefBased/>
  <w15:docId w15:val="{E4080131-7BE0-8E42-9677-E3B1D794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Jordan</dc:creator>
  <cp:keywords/>
  <dc:description/>
  <cp:lastModifiedBy>Sam Jordan</cp:lastModifiedBy>
  <cp:revision>3</cp:revision>
  <dcterms:created xsi:type="dcterms:W3CDTF">2022-09-22T13:44:00Z</dcterms:created>
  <dcterms:modified xsi:type="dcterms:W3CDTF">2022-09-28T12:17:00Z</dcterms:modified>
</cp:coreProperties>
</file>